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27" w:rsidRDefault="00331527" w:rsidP="00331527">
      <w:pPr>
        <w:autoSpaceDE w:val="0"/>
        <w:autoSpaceDN w:val="0"/>
        <w:adjustRightInd w:val="0"/>
        <w:ind w:left="142"/>
        <w:jc w:val="both"/>
      </w:pPr>
      <w:r w:rsidRPr="00221FDC">
        <w:rPr>
          <w:bCs/>
        </w:rPr>
        <w:t>Sunt eligibile în cadrul</w:t>
      </w:r>
      <w:r>
        <w:rPr>
          <w:b/>
        </w:rPr>
        <w:t xml:space="preserve"> </w:t>
      </w:r>
      <w:r w:rsidRPr="00E73FDE">
        <w:rPr>
          <w:bCs/>
        </w:rPr>
        <w:t>Programului</w:t>
      </w:r>
      <w:r>
        <w:rPr>
          <w:bCs/>
        </w:rPr>
        <w:t xml:space="preserve"> societăţile care desfăşoară activităţi pe codurile CAEN aferente următoarelor diviziuni</w:t>
      </w:r>
      <w:r w:rsidRPr="00E73FDE">
        <w:t>:</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sidRPr="00221FDC">
        <w:rPr>
          <w:bCs/>
        </w:rPr>
        <w:t>10 Industria alimentară</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11 Fabricarea băuturilor</w:t>
      </w:r>
      <w:r w:rsidRPr="00352711">
        <w:rPr>
          <w:bCs/>
        </w:rPr>
        <w:t>: eligibil doar codul CAEN 1107 – Produc</w:t>
      </w:r>
      <w:r>
        <w:rPr>
          <w:bCs/>
        </w:rPr>
        <w:t>ţia de băuturi răcoritoare nealcoolice</w:t>
      </w:r>
      <w:r w:rsidRPr="00352711">
        <w:rPr>
          <w:bCs/>
        </w:rPr>
        <w:t>; produc</w:t>
      </w:r>
      <w:r>
        <w:rPr>
          <w:bCs/>
        </w:rPr>
        <w:t>ţia de ape minerale şi alte ape înbuteliate</w:t>
      </w:r>
      <w:r w:rsidRPr="00352711">
        <w:rPr>
          <w:bCs/>
        </w:rPr>
        <w:t>;</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13 Fabricarea produselor textile;</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14 Fabricarea articolelor de îmbrăcăminte;</w:t>
      </w:r>
    </w:p>
    <w:p w:rsidR="00331527" w:rsidRPr="00221FDC" w:rsidRDefault="00331527" w:rsidP="00331527">
      <w:pPr>
        <w:numPr>
          <w:ilvl w:val="0"/>
          <w:numId w:val="3"/>
        </w:numPr>
        <w:tabs>
          <w:tab w:val="clear" w:pos="1440"/>
          <w:tab w:val="num" w:pos="851"/>
          <w:tab w:val="left" w:pos="1620"/>
          <w:tab w:val="left" w:pos="1800"/>
          <w:tab w:val="left" w:pos="1980"/>
        </w:tabs>
        <w:autoSpaceDE w:val="0"/>
        <w:autoSpaceDN w:val="0"/>
        <w:adjustRightInd w:val="0"/>
        <w:ind w:left="851" w:hanging="425"/>
        <w:jc w:val="both"/>
        <w:rPr>
          <w:bCs/>
        </w:rPr>
      </w:pPr>
      <w:r>
        <w:rPr>
          <w:bCs/>
        </w:rPr>
        <w:t>15Tăbăcirea şi finisarea pieilor</w:t>
      </w:r>
      <w:r w:rsidRPr="00E73FDE">
        <w:t>;</w:t>
      </w:r>
      <w:r>
        <w:t xml:space="preserve"> fabricarea articolelor de voiaj şi marochinărie, harnaşamentelor şi încălţămintei</w:t>
      </w:r>
      <w:r w:rsidRPr="00E73FDE">
        <w:t>;</w:t>
      </w:r>
      <w:r>
        <w:t xml:space="preserve"> prepararea şi vopsirea blănurilor;</w:t>
      </w:r>
    </w:p>
    <w:p w:rsidR="00331527" w:rsidRPr="00D872D5" w:rsidRDefault="00331527" w:rsidP="00331527">
      <w:pPr>
        <w:numPr>
          <w:ilvl w:val="0"/>
          <w:numId w:val="3"/>
        </w:numPr>
        <w:tabs>
          <w:tab w:val="clear" w:pos="1440"/>
          <w:tab w:val="num" w:pos="851"/>
        </w:tabs>
        <w:autoSpaceDE w:val="0"/>
        <w:autoSpaceDN w:val="0"/>
        <w:adjustRightInd w:val="0"/>
        <w:ind w:left="851" w:hanging="425"/>
        <w:jc w:val="both"/>
        <w:rPr>
          <w:bCs/>
        </w:rPr>
      </w:pPr>
      <w:r>
        <w:t>16 Prelucrarea lemnului, fabricarea produselor din lemnşi plută, cu excepţia mobilei</w:t>
      </w:r>
      <w:r w:rsidRPr="00E73FDE">
        <w:t>;</w:t>
      </w:r>
      <w:r>
        <w:t xml:space="preserve"> fabricarea articolelor din paie şi din alte materiale vegetale împletite;</w:t>
      </w:r>
    </w:p>
    <w:p w:rsidR="00331527" w:rsidRPr="005075BD" w:rsidRDefault="00331527" w:rsidP="00331527">
      <w:pPr>
        <w:numPr>
          <w:ilvl w:val="0"/>
          <w:numId w:val="3"/>
        </w:numPr>
        <w:tabs>
          <w:tab w:val="clear" w:pos="1440"/>
          <w:tab w:val="num" w:pos="851"/>
        </w:tabs>
        <w:autoSpaceDE w:val="0"/>
        <w:autoSpaceDN w:val="0"/>
        <w:adjustRightInd w:val="0"/>
        <w:ind w:left="851" w:hanging="425"/>
        <w:jc w:val="both"/>
        <w:rPr>
          <w:bCs/>
        </w:rPr>
      </w:pPr>
      <w:r>
        <w:t xml:space="preserve">17 </w:t>
      </w:r>
      <w:proofErr w:type="spellStart"/>
      <w:r>
        <w:rPr>
          <w:lang w:val="en-GB"/>
        </w:rPr>
        <w:t>Fabricarea</w:t>
      </w:r>
      <w:proofErr w:type="spellEnd"/>
      <w:r>
        <w:rPr>
          <w:lang w:val="en-GB"/>
        </w:rPr>
        <w:t xml:space="preserve"> </w:t>
      </w:r>
      <w:proofErr w:type="spellStart"/>
      <w:r>
        <w:rPr>
          <w:lang w:val="en-GB"/>
        </w:rPr>
        <w:t>hâ</w:t>
      </w:r>
      <w:r w:rsidRPr="005A2626">
        <w:rPr>
          <w:lang w:val="en-GB"/>
        </w:rPr>
        <w:t>rtie</w:t>
      </w:r>
      <w:r>
        <w:rPr>
          <w:lang w:val="en-GB"/>
        </w:rPr>
        <w:t>i</w:t>
      </w:r>
      <w:proofErr w:type="spellEnd"/>
      <w:r>
        <w:rPr>
          <w:lang w:val="en-GB"/>
        </w:rPr>
        <w:t xml:space="preserve"> </w:t>
      </w:r>
      <w:proofErr w:type="spellStart"/>
      <w:r>
        <w:rPr>
          <w:lang w:val="en-GB"/>
        </w:rPr>
        <w:t>ş</w:t>
      </w:r>
      <w:r w:rsidRPr="005A2626">
        <w:rPr>
          <w:lang w:val="en-GB"/>
        </w:rPr>
        <w:t>i</w:t>
      </w:r>
      <w:proofErr w:type="spellEnd"/>
      <w:r w:rsidRPr="005A2626">
        <w:rPr>
          <w:lang w:val="en-GB"/>
        </w:rPr>
        <w:t xml:space="preserve"> </w:t>
      </w:r>
      <w:r>
        <w:rPr>
          <w:lang w:val="en-GB"/>
        </w:rPr>
        <w:t xml:space="preserve">a </w:t>
      </w:r>
      <w:proofErr w:type="spellStart"/>
      <w:r>
        <w:rPr>
          <w:lang w:val="en-GB"/>
        </w:rPr>
        <w:t>produselor</w:t>
      </w:r>
      <w:proofErr w:type="spellEnd"/>
      <w:r>
        <w:rPr>
          <w:lang w:val="en-GB"/>
        </w:rPr>
        <w:t xml:space="preserve"> din h</w:t>
      </w:r>
      <w:r>
        <w:t>ârtie</w:t>
      </w:r>
      <w:r>
        <w:rPr>
          <w:lang w:val="en-US"/>
        </w:rPr>
        <w:t>;</w:t>
      </w:r>
    </w:p>
    <w:p w:rsidR="00331527" w:rsidRPr="005075BD" w:rsidRDefault="00331527" w:rsidP="00331527">
      <w:pPr>
        <w:numPr>
          <w:ilvl w:val="0"/>
          <w:numId w:val="3"/>
        </w:numPr>
        <w:tabs>
          <w:tab w:val="clear" w:pos="1440"/>
          <w:tab w:val="num" w:pos="851"/>
        </w:tabs>
        <w:autoSpaceDE w:val="0"/>
        <w:autoSpaceDN w:val="0"/>
        <w:adjustRightInd w:val="0"/>
        <w:ind w:left="851" w:hanging="425"/>
        <w:jc w:val="both"/>
        <w:rPr>
          <w:bCs/>
        </w:rPr>
      </w:pPr>
      <w:r>
        <w:rPr>
          <w:lang w:val="en-US"/>
        </w:rPr>
        <w:t xml:space="preserve">1811 </w:t>
      </w:r>
      <w:proofErr w:type="spellStart"/>
      <w:r w:rsidRPr="005075BD">
        <w:rPr>
          <w:lang w:val="en-US"/>
        </w:rPr>
        <w:t>Tip</w:t>
      </w:r>
      <w:r>
        <w:rPr>
          <w:lang w:val="en-US"/>
        </w:rPr>
        <w:t>ă</w:t>
      </w:r>
      <w:r w:rsidRPr="005075BD">
        <w:rPr>
          <w:lang w:val="en-US"/>
        </w:rPr>
        <w:t>rirea</w:t>
      </w:r>
      <w:proofErr w:type="spellEnd"/>
      <w:r w:rsidRPr="005075BD">
        <w:rPr>
          <w:lang w:val="en-US"/>
        </w:rPr>
        <w:t xml:space="preserve"> </w:t>
      </w:r>
      <w:proofErr w:type="spellStart"/>
      <w:r w:rsidRPr="005075BD">
        <w:rPr>
          <w:lang w:val="en-US"/>
        </w:rPr>
        <w:t>ziarelor</w:t>
      </w:r>
      <w:proofErr w:type="spellEnd"/>
      <w:r>
        <w:rPr>
          <w:lang w:val="en-US"/>
        </w:rPr>
        <w:t>;</w:t>
      </w:r>
    </w:p>
    <w:p w:rsidR="00331527" w:rsidRPr="009B2DCD" w:rsidRDefault="00331527" w:rsidP="00331527">
      <w:pPr>
        <w:numPr>
          <w:ilvl w:val="0"/>
          <w:numId w:val="3"/>
        </w:numPr>
        <w:tabs>
          <w:tab w:val="clear" w:pos="1440"/>
          <w:tab w:val="num" w:pos="851"/>
        </w:tabs>
        <w:autoSpaceDE w:val="0"/>
        <w:autoSpaceDN w:val="0"/>
        <w:adjustRightInd w:val="0"/>
        <w:ind w:left="851" w:hanging="425"/>
        <w:jc w:val="both"/>
        <w:rPr>
          <w:bCs/>
        </w:rPr>
      </w:pPr>
      <w:r>
        <w:rPr>
          <w:lang w:val="en-US"/>
        </w:rPr>
        <w:t xml:space="preserve">1812 </w:t>
      </w:r>
      <w:proofErr w:type="spellStart"/>
      <w:r w:rsidRPr="005075BD">
        <w:rPr>
          <w:lang w:val="en-US"/>
        </w:rPr>
        <w:t>Alte</w:t>
      </w:r>
      <w:proofErr w:type="spellEnd"/>
      <w:r w:rsidRPr="005075BD">
        <w:rPr>
          <w:lang w:val="en-US"/>
        </w:rPr>
        <w:t xml:space="preserve"> </w:t>
      </w:r>
      <w:proofErr w:type="spellStart"/>
      <w:r w:rsidRPr="005075BD">
        <w:rPr>
          <w:lang w:val="en-US"/>
        </w:rPr>
        <w:t>activitati</w:t>
      </w:r>
      <w:proofErr w:type="spellEnd"/>
      <w:r w:rsidRPr="005075BD">
        <w:rPr>
          <w:lang w:val="en-US"/>
        </w:rPr>
        <w:t xml:space="preserve"> de </w:t>
      </w:r>
      <w:proofErr w:type="spellStart"/>
      <w:r w:rsidRPr="005075BD">
        <w:rPr>
          <w:lang w:val="en-US"/>
        </w:rPr>
        <w:t>tip</w:t>
      </w:r>
      <w:r>
        <w:rPr>
          <w:lang w:val="en-US"/>
        </w:rPr>
        <w:t>ă</w:t>
      </w:r>
      <w:r w:rsidRPr="005075BD">
        <w:rPr>
          <w:lang w:val="en-US"/>
        </w:rPr>
        <w:t>rire</w:t>
      </w:r>
      <w:proofErr w:type="spellEnd"/>
      <w:r w:rsidRPr="005075BD">
        <w:rPr>
          <w:lang w:val="en-US"/>
        </w:rPr>
        <w:t xml:space="preserve"> </w:t>
      </w:r>
      <w:proofErr w:type="spellStart"/>
      <w:r w:rsidRPr="005075BD">
        <w:rPr>
          <w:lang w:val="en-US"/>
        </w:rPr>
        <w:t>n.c.a</w:t>
      </w:r>
      <w:proofErr w:type="spellEnd"/>
      <w:r w:rsidRPr="005075BD">
        <w:rPr>
          <w:lang w:val="en-US"/>
        </w:rPr>
        <w:t>.</w:t>
      </w:r>
      <w:r>
        <w:rPr>
          <w:lang w:val="en-US"/>
        </w:rPr>
        <w:t>;</w:t>
      </w:r>
    </w:p>
    <w:p w:rsidR="00331527" w:rsidRPr="009B2DCD" w:rsidRDefault="00331527" w:rsidP="00331527">
      <w:pPr>
        <w:numPr>
          <w:ilvl w:val="0"/>
          <w:numId w:val="3"/>
        </w:numPr>
        <w:tabs>
          <w:tab w:val="clear" w:pos="1440"/>
          <w:tab w:val="num" w:pos="851"/>
        </w:tabs>
        <w:autoSpaceDE w:val="0"/>
        <w:autoSpaceDN w:val="0"/>
        <w:adjustRightInd w:val="0"/>
        <w:ind w:left="851" w:hanging="425"/>
        <w:jc w:val="both"/>
        <w:rPr>
          <w:bCs/>
        </w:rPr>
      </w:pPr>
      <w:r>
        <w:rPr>
          <w:lang w:val="en-US"/>
        </w:rPr>
        <w:t xml:space="preserve">20 </w:t>
      </w:r>
      <w:proofErr w:type="spellStart"/>
      <w:r>
        <w:rPr>
          <w:lang w:val="en-US"/>
        </w:rPr>
        <w:t>Fabricarea</w:t>
      </w:r>
      <w:proofErr w:type="spellEnd"/>
      <w:r>
        <w:rPr>
          <w:lang w:val="en-US"/>
        </w:rPr>
        <w:t xml:space="preserve"> </w:t>
      </w:r>
      <w:proofErr w:type="spellStart"/>
      <w:r>
        <w:rPr>
          <w:lang w:val="en-US"/>
        </w:rPr>
        <w:t>substan</w:t>
      </w:r>
      <w:proofErr w:type="spellEnd"/>
      <w:r>
        <w:t>țelor și produselor chimice</w:t>
      </w:r>
      <w:r>
        <w:rPr>
          <w:lang w:val="en-US"/>
        </w:rPr>
        <w:t xml:space="preserve"> cu </w:t>
      </w:r>
      <w:proofErr w:type="spellStart"/>
      <w:r>
        <w:rPr>
          <w:lang w:val="en-US"/>
        </w:rPr>
        <w:t>excep</w:t>
      </w:r>
      <w:proofErr w:type="spellEnd"/>
      <w:r>
        <w:t>ția 2011, 2051, 2053, 2059.</w:t>
      </w:r>
    </w:p>
    <w:p w:rsidR="00331527" w:rsidRPr="00440FB4" w:rsidRDefault="00331527" w:rsidP="00331527">
      <w:pPr>
        <w:numPr>
          <w:ilvl w:val="0"/>
          <w:numId w:val="3"/>
        </w:numPr>
        <w:tabs>
          <w:tab w:val="clear" w:pos="1440"/>
          <w:tab w:val="num" w:pos="851"/>
        </w:tabs>
        <w:autoSpaceDE w:val="0"/>
        <w:autoSpaceDN w:val="0"/>
        <w:adjustRightInd w:val="0"/>
        <w:ind w:left="851" w:hanging="425"/>
        <w:jc w:val="both"/>
        <w:rPr>
          <w:bCs/>
        </w:rPr>
      </w:pPr>
      <w:r>
        <w:rPr>
          <w:bCs/>
        </w:rPr>
        <w:t>21 Fabricarea produselor farmaceutice de bază și a preparatelor farmaceutice</w:t>
      </w:r>
      <w:r>
        <w:rPr>
          <w:bCs/>
          <w:lang w:val="en-US"/>
        </w:rPr>
        <w:t>;</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22 Fabricarea produselor din cauciuc şi mase plastice;</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23 Fabricarea altor produse din minerale nemetalice;</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24 Industria metalurgică;</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25 Industria construcţiilor metalice şi a produselor din metal, exclusiv maşini utilaje şi instalaţii - cu excepţia societăţilor care desfăşoară activităţi pe codurile CAEN aferente grupei 254 Fabricarea armamentului şi muniţiei;</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26 Fabricarea calculatoarelor şi a produselor electronice şi optice;</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27 Fabricarea echipamentelor electrice;</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28 Fabricarea de maşini, utilaje şi echipamente n.c.a.;</w:t>
      </w:r>
    </w:p>
    <w:p w:rsidR="00331527" w:rsidRPr="00335D2E" w:rsidRDefault="00331527" w:rsidP="00331527">
      <w:pPr>
        <w:numPr>
          <w:ilvl w:val="0"/>
          <w:numId w:val="3"/>
        </w:numPr>
        <w:tabs>
          <w:tab w:val="clear" w:pos="1440"/>
          <w:tab w:val="num" w:pos="851"/>
        </w:tabs>
        <w:autoSpaceDE w:val="0"/>
        <w:autoSpaceDN w:val="0"/>
        <w:adjustRightInd w:val="0"/>
        <w:ind w:left="851" w:hanging="425"/>
        <w:jc w:val="both"/>
        <w:rPr>
          <w:bCs/>
        </w:rPr>
      </w:pPr>
      <w:r>
        <w:rPr>
          <w:bCs/>
        </w:rPr>
        <w:t>29 Fabricarea autovehiculelor de transport rutier, a remorcilor și semiremorcilor</w:t>
      </w:r>
      <w:r>
        <w:rPr>
          <w:bCs/>
          <w:lang w:val="en-US"/>
        </w:rPr>
        <w:t>;</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lang w:val="en-US"/>
        </w:rPr>
        <w:t xml:space="preserve">30 </w:t>
      </w:r>
      <w:proofErr w:type="spellStart"/>
      <w:r>
        <w:rPr>
          <w:bCs/>
          <w:lang w:val="en-US"/>
        </w:rPr>
        <w:t>Fabricarea</w:t>
      </w:r>
      <w:proofErr w:type="spellEnd"/>
      <w:r>
        <w:rPr>
          <w:bCs/>
          <w:lang w:val="en-US"/>
        </w:rPr>
        <w:t xml:space="preserve"> </w:t>
      </w:r>
      <w:proofErr w:type="spellStart"/>
      <w:r>
        <w:rPr>
          <w:bCs/>
          <w:lang w:val="en-US"/>
        </w:rPr>
        <w:t>altor</w:t>
      </w:r>
      <w:proofErr w:type="spellEnd"/>
      <w:r>
        <w:rPr>
          <w:bCs/>
          <w:lang w:val="en-US"/>
        </w:rPr>
        <w:t xml:space="preserve"> </w:t>
      </w:r>
      <w:proofErr w:type="spellStart"/>
      <w:r>
        <w:rPr>
          <w:bCs/>
          <w:lang w:val="en-US"/>
        </w:rPr>
        <w:t>mijloace</w:t>
      </w:r>
      <w:proofErr w:type="spellEnd"/>
      <w:r>
        <w:rPr>
          <w:bCs/>
          <w:lang w:val="en-US"/>
        </w:rPr>
        <w:t xml:space="preserve"> de transport cu </w:t>
      </w:r>
      <w:proofErr w:type="spellStart"/>
      <w:r>
        <w:rPr>
          <w:lang w:val="en-US"/>
        </w:rPr>
        <w:t>excep</w:t>
      </w:r>
      <w:proofErr w:type="spellEnd"/>
      <w:r>
        <w:t>ția 3040</w:t>
      </w:r>
      <w:r>
        <w:rPr>
          <w:lang w:val="en-US"/>
        </w:rPr>
        <w:t>;</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31 Fabricarea de mobilă;</w:t>
      </w:r>
    </w:p>
    <w:p w:rsidR="00331527" w:rsidRDefault="00331527" w:rsidP="00331527">
      <w:pPr>
        <w:numPr>
          <w:ilvl w:val="0"/>
          <w:numId w:val="3"/>
        </w:numPr>
        <w:tabs>
          <w:tab w:val="clear" w:pos="1440"/>
          <w:tab w:val="num" w:pos="851"/>
        </w:tabs>
        <w:autoSpaceDE w:val="0"/>
        <w:autoSpaceDN w:val="0"/>
        <w:adjustRightInd w:val="0"/>
        <w:ind w:left="851" w:hanging="425"/>
        <w:jc w:val="both"/>
        <w:rPr>
          <w:bCs/>
        </w:rPr>
      </w:pPr>
      <w:r>
        <w:rPr>
          <w:bCs/>
        </w:rPr>
        <w:t>32 Alte activităţi industriale n.c.a.</w:t>
      </w:r>
    </w:p>
    <w:p w:rsidR="00331527" w:rsidRPr="00221FDC" w:rsidRDefault="00331527" w:rsidP="00331527">
      <w:pPr>
        <w:autoSpaceDE w:val="0"/>
        <w:autoSpaceDN w:val="0"/>
        <w:adjustRightInd w:val="0"/>
        <w:ind w:left="1440"/>
        <w:jc w:val="both"/>
        <w:rPr>
          <w:bCs/>
        </w:rPr>
      </w:pPr>
    </w:p>
    <w:p w:rsidR="00331527" w:rsidRPr="00E73FDE" w:rsidRDefault="00331527" w:rsidP="00331527">
      <w:pPr>
        <w:autoSpaceDE w:val="0"/>
        <w:autoSpaceDN w:val="0"/>
        <w:adjustRightInd w:val="0"/>
        <w:ind w:left="720"/>
        <w:jc w:val="both"/>
        <w:rPr>
          <w:b/>
        </w:rPr>
      </w:pPr>
      <w:r>
        <w:rPr>
          <w:b/>
        </w:rPr>
        <w:t>3.4</w:t>
      </w:r>
      <w:r w:rsidRPr="00E73FDE">
        <w:t xml:space="preserve"> </w:t>
      </w:r>
      <w:r w:rsidRPr="007F04E2">
        <w:rPr>
          <w:b/>
        </w:rPr>
        <w:t>(1)</w:t>
      </w:r>
      <w:r>
        <w:t xml:space="preserve"> </w:t>
      </w:r>
      <w:r w:rsidRPr="00E73FDE">
        <w:rPr>
          <w:bCs/>
        </w:rPr>
        <w:t>Nu beneficiază de prevederile Programului</w:t>
      </w:r>
      <w:r>
        <w:rPr>
          <w:bCs/>
        </w:rPr>
        <w:t xml:space="preserve"> societăţile care desfăşoară</w:t>
      </w:r>
      <w:r w:rsidRPr="00E73FDE">
        <w:t xml:space="preserve">: </w:t>
      </w:r>
    </w:p>
    <w:p w:rsidR="00331527" w:rsidRPr="00E73FDE" w:rsidRDefault="00331527" w:rsidP="00331527">
      <w:pPr>
        <w:numPr>
          <w:ilvl w:val="0"/>
          <w:numId w:val="2"/>
        </w:numPr>
        <w:tabs>
          <w:tab w:val="clear" w:pos="765"/>
          <w:tab w:val="num" w:pos="709"/>
        </w:tabs>
        <w:autoSpaceDE w:val="0"/>
        <w:autoSpaceDN w:val="0"/>
        <w:adjustRightInd w:val="0"/>
        <w:ind w:hanging="339"/>
        <w:jc w:val="both"/>
      </w:pPr>
      <w:r w:rsidRPr="00E73FDE">
        <w:t>activităţi de pescuit şi acvacultură, acoperite de</w:t>
      </w:r>
      <w:r w:rsidRPr="001167B1">
        <w:t xml:space="preserve"> </w:t>
      </w:r>
      <w:r w:rsidRPr="001167B1">
        <w:rPr>
          <w:bCs/>
        </w:rPr>
        <w:t>Regulamentul (UE) nr. 1379/2013</w:t>
      </w:r>
      <w:r>
        <w:rPr>
          <w:rStyle w:val="FootnoteReference"/>
        </w:rPr>
        <w:footnoteReference w:id="1"/>
      </w:r>
      <w:r w:rsidRPr="00E73FDE">
        <w:t>:</w:t>
      </w:r>
    </w:p>
    <w:p w:rsidR="00331527" w:rsidRPr="00E73FDE" w:rsidRDefault="00331527" w:rsidP="00331527">
      <w:pPr>
        <w:numPr>
          <w:ilvl w:val="1"/>
          <w:numId w:val="2"/>
        </w:numPr>
        <w:tabs>
          <w:tab w:val="clear" w:pos="1440"/>
          <w:tab w:val="num" w:pos="709"/>
          <w:tab w:val="num" w:pos="1800"/>
        </w:tabs>
        <w:autoSpaceDE w:val="0"/>
        <w:autoSpaceDN w:val="0"/>
        <w:adjustRightInd w:val="0"/>
        <w:ind w:left="1800" w:hanging="339"/>
        <w:jc w:val="both"/>
      </w:pPr>
      <w:r w:rsidRPr="00E73FDE">
        <w:t>031 - Pescuitul</w:t>
      </w:r>
    </w:p>
    <w:p w:rsidR="00331527" w:rsidRPr="00E73FDE" w:rsidRDefault="00331527" w:rsidP="00331527">
      <w:pPr>
        <w:numPr>
          <w:ilvl w:val="1"/>
          <w:numId w:val="2"/>
        </w:numPr>
        <w:tabs>
          <w:tab w:val="clear" w:pos="1440"/>
          <w:tab w:val="num" w:pos="709"/>
          <w:tab w:val="num" w:pos="1800"/>
        </w:tabs>
        <w:autoSpaceDE w:val="0"/>
        <w:autoSpaceDN w:val="0"/>
        <w:adjustRightInd w:val="0"/>
        <w:ind w:left="1800" w:hanging="339"/>
        <w:jc w:val="both"/>
      </w:pPr>
      <w:r w:rsidRPr="00E73FDE">
        <w:t>032 - Acvacultura</w:t>
      </w:r>
    </w:p>
    <w:p w:rsidR="00331527" w:rsidRPr="00E73FDE" w:rsidRDefault="00331527" w:rsidP="00331527">
      <w:pPr>
        <w:numPr>
          <w:ilvl w:val="0"/>
          <w:numId w:val="2"/>
        </w:numPr>
        <w:tabs>
          <w:tab w:val="clear" w:pos="765"/>
          <w:tab w:val="num" w:pos="709"/>
        </w:tabs>
        <w:ind w:hanging="339"/>
      </w:pPr>
      <w:r w:rsidRPr="00E73FDE">
        <w:t xml:space="preserve">activităţi legate de producţia primară a produselor agricole aşa cum sunt enumerate în </w:t>
      </w:r>
      <w:r w:rsidRPr="00E73FDE">
        <w:rPr>
          <w:bCs/>
          <w:iCs/>
        </w:rPr>
        <w:t>anexa</w:t>
      </w:r>
      <w:r w:rsidRPr="00E73FDE">
        <w:rPr>
          <w:bCs/>
          <w:i/>
          <w:iCs/>
        </w:rPr>
        <w:t xml:space="preserve"> </w:t>
      </w:r>
      <w:r w:rsidRPr="00E73FDE">
        <w:rPr>
          <w:bCs/>
          <w:iCs/>
        </w:rPr>
        <w:t>1</w:t>
      </w:r>
      <w:r w:rsidRPr="00E73FDE">
        <w:t xml:space="preserve"> la Tratatul de instituire a Comunităţii Europene</w:t>
      </w:r>
      <w:r w:rsidRPr="003A6DF0">
        <w:t>, cu excep</w:t>
      </w:r>
      <w:r>
        <w:t>ţ</w:t>
      </w:r>
      <w:r w:rsidRPr="003A6DF0">
        <w:t>ia produselor ob</w:t>
      </w:r>
      <w:r>
        <w:t>ţ</w:t>
      </w:r>
      <w:r w:rsidRPr="003A6DF0">
        <w:t xml:space="preserve">inute din pescuit </w:t>
      </w:r>
      <w:r>
        <w:t>ş</w:t>
      </w:r>
      <w:r w:rsidRPr="003A6DF0">
        <w:t>i acvacultură prevăzute în Regulamentul (</w:t>
      </w:r>
      <w:r>
        <w:t>UE</w:t>
      </w:r>
      <w:r w:rsidRPr="003A6DF0">
        <w:t xml:space="preserve">) nr. </w:t>
      </w:r>
      <w:r>
        <w:t>1379</w:t>
      </w:r>
      <w:r w:rsidRPr="003A6DF0">
        <w:t>/20</w:t>
      </w:r>
      <w:r>
        <w:t xml:space="preserve">13 </w:t>
      </w:r>
      <w:r w:rsidRPr="00E73FDE">
        <w:t>;</w:t>
      </w:r>
    </w:p>
    <w:p w:rsidR="00331527" w:rsidRPr="00E73FDE" w:rsidRDefault="00331527" w:rsidP="00331527">
      <w:pPr>
        <w:numPr>
          <w:ilvl w:val="0"/>
          <w:numId w:val="2"/>
        </w:numPr>
        <w:tabs>
          <w:tab w:val="clear" w:pos="765"/>
          <w:tab w:val="num" w:pos="709"/>
        </w:tabs>
        <w:autoSpaceDE w:val="0"/>
        <w:autoSpaceDN w:val="0"/>
        <w:adjustRightInd w:val="0"/>
        <w:ind w:hanging="339"/>
        <w:jc w:val="both"/>
      </w:pPr>
      <w:r w:rsidRPr="00E73FDE">
        <w:t xml:space="preserve"> activităţi de </w:t>
      </w:r>
      <w:r w:rsidRPr="00F22734">
        <w:t>prelucrare si comercializare</w:t>
      </w:r>
      <w:r w:rsidRPr="00E73FDE">
        <w:t xml:space="preserve"> ale produselor agricole listate în </w:t>
      </w:r>
      <w:r w:rsidRPr="00E73FDE">
        <w:rPr>
          <w:bCs/>
          <w:iCs/>
        </w:rPr>
        <w:t>anexa 1</w:t>
      </w:r>
      <w:r w:rsidRPr="00E73FDE">
        <w:t xml:space="preserve"> la Tratatul de instituire a Comunităţii Europene, în următoarele cazuri:</w:t>
      </w:r>
    </w:p>
    <w:p w:rsidR="00331527" w:rsidRPr="00E73FDE" w:rsidRDefault="00331527" w:rsidP="00331527">
      <w:pPr>
        <w:numPr>
          <w:ilvl w:val="1"/>
          <w:numId w:val="1"/>
        </w:numPr>
        <w:tabs>
          <w:tab w:val="clear" w:pos="1800"/>
          <w:tab w:val="num" w:pos="709"/>
        </w:tabs>
        <w:autoSpaceDE w:val="0"/>
        <w:autoSpaceDN w:val="0"/>
        <w:adjustRightInd w:val="0"/>
        <w:ind w:left="720" w:hanging="339"/>
        <w:jc w:val="both"/>
      </w:pPr>
      <w:r w:rsidRPr="00E73FDE">
        <w:t xml:space="preserve">când </w:t>
      </w:r>
      <w:r>
        <w:t>valoarea</w:t>
      </w:r>
      <w:r w:rsidRPr="00E73FDE">
        <w:t xml:space="preserve"> ajutorului este stabilit pe baza preţului sau a cantităţii produselor de acest tip </w:t>
      </w:r>
      <w:r>
        <w:t>achiziţionate</w:t>
      </w:r>
      <w:r w:rsidRPr="00E73FDE">
        <w:t xml:space="preserve"> de la producătorii primari sau puse pe piaţă de operatorii economici respectivi;</w:t>
      </w:r>
    </w:p>
    <w:p w:rsidR="00331527" w:rsidRDefault="00331527" w:rsidP="00331527">
      <w:pPr>
        <w:numPr>
          <w:ilvl w:val="1"/>
          <w:numId w:val="1"/>
        </w:numPr>
        <w:tabs>
          <w:tab w:val="clear" w:pos="1800"/>
          <w:tab w:val="num" w:pos="709"/>
        </w:tabs>
        <w:autoSpaceDE w:val="0"/>
        <w:autoSpaceDN w:val="0"/>
        <w:adjustRightInd w:val="0"/>
        <w:ind w:left="720" w:hanging="339"/>
        <w:jc w:val="both"/>
      </w:pPr>
      <w:r w:rsidRPr="00E73FDE">
        <w:t>când ajutorul este condiţionat de a fi parţia</w:t>
      </w:r>
      <w:smartTag w:uri="urn:schemas-microsoft-com:office:smarttags" w:element="PersonName">
        <w:r w:rsidRPr="00E73FDE">
          <w:t>l s</w:t>
        </w:r>
      </w:smartTag>
      <w:r w:rsidRPr="00E73FDE">
        <w:t xml:space="preserve">au integral </w:t>
      </w:r>
      <w:r>
        <w:t>transferat</w:t>
      </w:r>
      <w:r w:rsidRPr="00E73FDE">
        <w:t xml:space="preserve"> producătorilor primari (fermieri);</w:t>
      </w:r>
    </w:p>
    <w:p w:rsidR="00331527" w:rsidRDefault="00331527" w:rsidP="00331527">
      <w:pPr>
        <w:tabs>
          <w:tab w:val="num" w:pos="709"/>
        </w:tabs>
        <w:autoSpaceDE w:val="0"/>
        <w:autoSpaceDN w:val="0"/>
        <w:adjustRightInd w:val="0"/>
        <w:ind w:left="720" w:hanging="339"/>
        <w:jc w:val="both"/>
      </w:pPr>
      <w:r>
        <w:lastRenderedPageBreak/>
        <w:tab/>
        <w:t>Prin „prelucrarea produselor agricole” se înţelege orice operaţiune efectuată asupra unui produs agricol care are drept rezultat un produs care este tot un produs agricol, cu excepţia activităţilor desfăşurate în exploataţiile agricole, necesare în vederea pregătirii unui produs de origine animală sau vegetală pentru prima vânzare.</w:t>
      </w:r>
    </w:p>
    <w:p w:rsidR="00331527" w:rsidRPr="00E73FDE" w:rsidRDefault="00331527" w:rsidP="00331527">
      <w:pPr>
        <w:tabs>
          <w:tab w:val="num" w:pos="709"/>
        </w:tabs>
        <w:autoSpaceDE w:val="0"/>
        <w:autoSpaceDN w:val="0"/>
        <w:adjustRightInd w:val="0"/>
        <w:ind w:left="720" w:hanging="11"/>
        <w:jc w:val="both"/>
      </w:pPr>
      <w:r>
        <w:t>Prin „comercializarea produselor agricole” se înţelege deţinerea sau expunerea unui produs agricol în vederea vânzării, a punerii în vânzare, a livrării sau a oricărei alte forme de introducere pe piaţă, cu excepţia primei vânzări de către un producător primar către revânzători sau prelucrători şi a oricărei alte activităţi de pregătire a produsului pentru această primă vânzare; o vânzare efectuată de către un producător primar către consumatori finali este considerată comercializare în cazul în care se desfăşoară în localuri distincte, rezervate acestei activităţi.</w:t>
      </w:r>
    </w:p>
    <w:p w:rsidR="00331527" w:rsidRPr="00E73FDE" w:rsidRDefault="00331527" w:rsidP="00331527">
      <w:pPr>
        <w:numPr>
          <w:ilvl w:val="0"/>
          <w:numId w:val="2"/>
        </w:numPr>
        <w:tabs>
          <w:tab w:val="clear" w:pos="765"/>
          <w:tab w:val="num" w:pos="709"/>
        </w:tabs>
        <w:autoSpaceDE w:val="0"/>
        <w:autoSpaceDN w:val="0"/>
        <w:adjustRightInd w:val="0"/>
        <w:ind w:hanging="339"/>
        <w:jc w:val="both"/>
      </w:pPr>
      <w:r w:rsidRPr="00E73FDE">
        <w:t xml:space="preserve">activităţi legate de export şi anume, ajutoarele legate direct de cantităţile exportate, de </w:t>
      </w:r>
      <w:r>
        <w:t>înfiintarea</w:t>
      </w:r>
      <w:r w:rsidRPr="00E73FDE">
        <w:t xml:space="preserve"> şi funcţionarea unei reţele de distribuţie sau pentru alte cheltuieli curente legate de activitatea de export;</w:t>
      </w:r>
    </w:p>
    <w:p w:rsidR="00331527" w:rsidRDefault="00331527" w:rsidP="00331527">
      <w:pPr>
        <w:numPr>
          <w:ilvl w:val="0"/>
          <w:numId w:val="2"/>
        </w:numPr>
        <w:tabs>
          <w:tab w:val="clear" w:pos="765"/>
          <w:tab w:val="num" w:pos="709"/>
        </w:tabs>
        <w:autoSpaceDE w:val="0"/>
        <w:autoSpaceDN w:val="0"/>
        <w:adjustRightInd w:val="0"/>
        <w:ind w:hanging="339"/>
        <w:jc w:val="both"/>
      </w:pPr>
      <w:r w:rsidRPr="00E73FDE">
        <w:t xml:space="preserve">ajutoarele </w:t>
      </w:r>
      <w:r w:rsidRPr="0037453A">
        <w:t>condi</w:t>
      </w:r>
      <w:r>
        <w:t>ţ</w:t>
      </w:r>
      <w:r w:rsidRPr="0037453A">
        <w:t>ionate de utilizarea preferen</w:t>
      </w:r>
      <w:r>
        <w:t>ţ</w:t>
      </w:r>
      <w:r w:rsidRPr="0037453A">
        <w:t xml:space="preserve">ială </w:t>
      </w:r>
      <w:r>
        <w:t xml:space="preserve">a </w:t>
      </w:r>
      <w:r w:rsidRPr="00E73FDE">
        <w:t>produselor naţionale</w:t>
      </w:r>
      <w:r>
        <w:t xml:space="preserve"> </w:t>
      </w:r>
      <w:r w:rsidRPr="0037453A">
        <w:t>fa</w:t>
      </w:r>
      <w:r>
        <w:t>ţ</w:t>
      </w:r>
      <w:r w:rsidRPr="0037453A">
        <w:t>ă de produsele</w:t>
      </w:r>
      <w:r w:rsidRPr="00E73FDE">
        <w:t xml:space="preserve"> importate;</w:t>
      </w:r>
    </w:p>
    <w:p w:rsidR="00331527" w:rsidRPr="00E73FDE" w:rsidRDefault="00331527" w:rsidP="00331527">
      <w:pPr>
        <w:numPr>
          <w:ilvl w:val="0"/>
          <w:numId w:val="2"/>
        </w:numPr>
        <w:tabs>
          <w:tab w:val="clear" w:pos="765"/>
          <w:tab w:val="num" w:pos="709"/>
        </w:tabs>
        <w:autoSpaceDE w:val="0"/>
        <w:autoSpaceDN w:val="0"/>
        <w:adjustRightInd w:val="0"/>
        <w:ind w:hanging="339"/>
        <w:jc w:val="both"/>
      </w:pPr>
      <w:r w:rsidRPr="005F363C">
        <w:t xml:space="preserve">ajutoarele pentru achiziţionarea vehiculelor de transport rutier de marfă acordate agenţilor economici care au ca obiect de activitate prestarea de servicii de transport rutier de marfă în contul terţilor sau  contra cost. </w:t>
      </w:r>
    </w:p>
    <w:p w:rsidR="00331527" w:rsidRPr="00E73FDE" w:rsidRDefault="00331527" w:rsidP="00331527">
      <w:pPr>
        <w:autoSpaceDE w:val="0"/>
        <w:autoSpaceDN w:val="0"/>
        <w:adjustRightInd w:val="0"/>
        <w:ind w:left="720"/>
        <w:jc w:val="both"/>
      </w:pPr>
    </w:p>
    <w:p w:rsidR="00331527" w:rsidRPr="0037453A" w:rsidRDefault="00331527" w:rsidP="00331527">
      <w:pPr>
        <w:pStyle w:val="yiv677137984msonormal"/>
        <w:ind w:left="142"/>
        <w:jc w:val="both"/>
        <w:rPr>
          <w:lang w:val="ro-RO"/>
        </w:rPr>
      </w:pPr>
      <w:r w:rsidRPr="0037453A">
        <w:rPr>
          <w:lang w:val="ro-RO"/>
        </w:rPr>
        <w:t>În cazul în care o întreprindere î</w:t>
      </w:r>
      <w:r>
        <w:rPr>
          <w:lang w:val="ro-RO"/>
        </w:rPr>
        <w:t>ş</w:t>
      </w:r>
      <w:r w:rsidRPr="0037453A">
        <w:rPr>
          <w:lang w:val="ro-RO"/>
        </w:rPr>
        <w:t>i desfă</w:t>
      </w:r>
      <w:r>
        <w:rPr>
          <w:lang w:val="ro-RO"/>
        </w:rPr>
        <w:t>ş</w:t>
      </w:r>
      <w:r w:rsidRPr="0037453A">
        <w:rPr>
          <w:lang w:val="ro-RO"/>
        </w:rPr>
        <w:t>oară activitatea atât într-unul din sectoarele exceptate (cele m</w:t>
      </w:r>
      <w:bookmarkStart w:id="0" w:name="_GoBack"/>
      <w:bookmarkEnd w:id="0"/>
      <w:r w:rsidRPr="0037453A">
        <w:rPr>
          <w:lang w:val="ro-RO"/>
        </w:rPr>
        <w:t xml:space="preserve">enţionate </w:t>
      </w:r>
      <w:r>
        <w:rPr>
          <w:lang w:val="ro-RO"/>
        </w:rPr>
        <w:t>mai sus</w:t>
      </w:r>
      <w:r w:rsidRPr="0037453A">
        <w:rPr>
          <w:lang w:val="ro-RO"/>
        </w:rPr>
        <w:t xml:space="preserve">), cât </w:t>
      </w:r>
      <w:r>
        <w:rPr>
          <w:lang w:val="ro-RO"/>
        </w:rPr>
        <w:t>ş</w:t>
      </w:r>
      <w:r w:rsidRPr="0037453A">
        <w:rPr>
          <w:lang w:val="ro-RO"/>
        </w:rPr>
        <w:t>i în unu</w:t>
      </w:r>
      <w:smartTag w:uri="urn:schemas-microsoft-com:office:smarttags" w:element="PersonName">
        <w:r w:rsidRPr="0037453A">
          <w:rPr>
            <w:lang w:val="ro-RO"/>
          </w:rPr>
          <w:t>l s</w:t>
        </w:r>
      </w:smartTag>
      <w:r w:rsidRPr="0037453A">
        <w:rPr>
          <w:lang w:val="ro-RO"/>
        </w:rPr>
        <w:t xml:space="preserve">au mai multe sectoare sau domenii de activitate incluse în domeniul de aplicare </w:t>
      </w:r>
      <w:r w:rsidRPr="0077382B">
        <w:rPr>
          <w:lang w:val="ro-RO"/>
        </w:rPr>
        <w:t>al</w:t>
      </w:r>
      <w:r>
        <w:rPr>
          <w:color w:val="FF0000"/>
          <w:lang w:val="ro-RO"/>
        </w:rPr>
        <w:t xml:space="preserve"> </w:t>
      </w:r>
      <w:r w:rsidRPr="0037453A">
        <w:rPr>
          <w:lang w:val="ro-RO"/>
        </w:rPr>
        <w:t xml:space="preserve">prezentei scheme, prevederile acesteia se aplică ajutoarelor acordate pentru sectoarele neexceptate. </w:t>
      </w:r>
    </w:p>
    <w:p w:rsidR="00331527" w:rsidRPr="00E73FDE" w:rsidRDefault="00331527" w:rsidP="00331527">
      <w:pPr>
        <w:pStyle w:val="yiv677137984msonormal"/>
        <w:ind w:left="142"/>
        <w:jc w:val="both"/>
        <w:rPr>
          <w:lang w:val="ro-RO"/>
        </w:rPr>
      </w:pPr>
      <w:r w:rsidRPr="0037453A">
        <w:rPr>
          <w:lang w:val="ro-RO"/>
        </w:rPr>
        <w:t>Pentru a beneficia de prevederile schemei, întreprinderea în cauză trebuie să se asigure, prin mijloace corespunzătoare, precum separarea activită</w:t>
      </w:r>
      <w:r>
        <w:rPr>
          <w:lang w:val="ro-RO"/>
        </w:rPr>
        <w:t>ţ</w:t>
      </w:r>
      <w:r w:rsidRPr="0037453A">
        <w:rPr>
          <w:lang w:val="ro-RO"/>
        </w:rPr>
        <w:t>ilor sau o distinc</w:t>
      </w:r>
      <w:r>
        <w:rPr>
          <w:lang w:val="ro-RO"/>
        </w:rPr>
        <w:t>ţ</w:t>
      </w:r>
      <w:r w:rsidRPr="0037453A">
        <w:rPr>
          <w:lang w:val="ro-RO"/>
        </w:rPr>
        <w:t>ie între costuri, că activită</w:t>
      </w:r>
      <w:r>
        <w:rPr>
          <w:lang w:val="ro-RO"/>
        </w:rPr>
        <w:t>ţ</w:t>
      </w:r>
      <w:r w:rsidRPr="0037453A">
        <w:rPr>
          <w:lang w:val="ro-RO"/>
        </w:rPr>
        <w:t>ile desfă</w:t>
      </w:r>
      <w:r>
        <w:rPr>
          <w:lang w:val="ro-RO"/>
        </w:rPr>
        <w:t>ş</w:t>
      </w:r>
      <w:r w:rsidRPr="0037453A">
        <w:rPr>
          <w:lang w:val="ro-RO"/>
        </w:rPr>
        <w:t>urate în sectoarele excluse din domeniul de aplicare nu beneficiază de ajutoare de minimis acordate în conformitate cu prezenta schemă.</w:t>
      </w:r>
    </w:p>
    <w:p w:rsidR="005415FE" w:rsidRDefault="005415FE" w:rsidP="00331527">
      <w:pPr>
        <w:ind w:left="142"/>
      </w:pPr>
    </w:p>
    <w:sectPr w:rsidR="005415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32" w:rsidRDefault="000E4132" w:rsidP="00331527">
      <w:r>
        <w:separator/>
      </w:r>
    </w:p>
  </w:endnote>
  <w:endnote w:type="continuationSeparator" w:id="0">
    <w:p w:rsidR="000E4132" w:rsidRDefault="000E4132" w:rsidP="0033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32" w:rsidRDefault="000E4132" w:rsidP="00331527">
      <w:r>
        <w:separator/>
      </w:r>
    </w:p>
  </w:footnote>
  <w:footnote w:type="continuationSeparator" w:id="0">
    <w:p w:rsidR="000E4132" w:rsidRDefault="000E4132" w:rsidP="00331527">
      <w:r>
        <w:continuationSeparator/>
      </w:r>
    </w:p>
  </w:footnote>
  <w:footnote w:id="1">
    <w:p w:rsidR="00331527" w:rsidRPr="00E33E36" w:rsidRDefault="00331527" w:rsidP="00331527">
      <w:pPr>
        <w:pStyle w:val="FootnoteText"/>
        <w:ind w:left="0" w:firstLine="0"/>
        <w:rPr>
          <w:lang w:val="ro-RO"/>
        </w:rPr>
      </w:pPr>
      <w:r w:rsidRPr="001167B1">
        <w:rPr>
          <w:vertAlign w:val="superscript"/>
          <w:lang w:val="ro-RO"/>
        </w:rPr>
        <w:footnoteRef/>
      </w:r>
      <w:r w:rsidRPr="001167B1">
        <w:rPr>
          <w:lang w:val="ro-RO"/>
        </w:rPr>
        <w:t xml:space="preserve"> </w:t>
      </w:r>
      <w:r w:rsidRPr="001167B1">
        <w:rPr>
          <w:bCs/>
          <w:lang w:val="ro-RO"/>
        </w:rPr>
        <w:t>Regulamentul (UE) nr. 1379/2013 al Parlamentului European și al Consiliului din 11 decembrie 2013 privind organizarea comună a piețelor în sectorul produselor pescărești și de acvacultură, de modificare a Regulamentelor (CE) nr. 1184/2006 și (CE) nr. 1224/2009 ale Consiliului și de abrogare a Regulamentului (CE) nr. 104/2000 al Consiliului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16AE4"/>
    <w:multiLevelType w:val="hybridMultilevel"/>
    <w:tmpl w:val="F9281ADE"/>
    <w:lvl w:ilvl="0" w:tplc="8298A5E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BCC2700"/>
    <w:multiLevelType w:val="hybridMultilevel"/>
    <w:tmpl w:val="6A50E762"/>
    <w:lvl w:ilvl="0" w:tplc="13E4636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D806267"/>
    <w:multiLevelType w:val="hybridMultilevel"/>
    <w:tmpl w:val="F1FCF20C"/>
    <w:lvl w:ilvl="0" w:tplc="805855FC">
      <w:start w:val="1"/>
      <w:numFmt w:val="lowerLetter"/>
      <w:lvlText w:val="%1)"/>
      <w:lvlJc w:val="left"/>
      <w:pPr>
        <w:tabs>
          <w:tab w:val="num" w:pos="765"/>
        </w:tabs>
        <w:ind w:left="765" w:hanging="405"/>
      </w:pPr>
      <w:rPr>
        <w:rFonts w:hint="default"/>
      </w:rPr>
    </w:lvl>
    <w:lvl w:ilvl="1" w:tplc="97901C2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27"/>
    <w:rsid w:val="000E4132"/>
    <w:rsid w:val="00331527"/>
    <w:rsid w:val="00541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423CC29-A5CC-4485-BA9B-7B9A5146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2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semiHidden/>
    <w:rsid w:val="00331527"/>
    <w:rPr>
      <w:rFonts w:ascii="TimesNewRomanPS" w:hAnsi="TimesNewRomanPS"/>
      <w:position w:val="6"/>
      <w:sz w:val="16"/>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
    <w:basedOn w:val="Normal"/>
    <w:link w:val="FootnoteTextChar1"/>
    <w:semiHidden/>
    <w:rsid w:val="00331527"/>
    <w:pPr>
      <w:spacing w:after="240"/>
      <w:ind w:left="357" w:hanging="357"/>
      <w:jc w:val="both"/>
    </w:pPr>
    <w:rPr>
      <w:sz w:val="20"/>
      <w:szCs w:val="20"/>
      <w:lang w:val="en-GB" w:eastAsia="en-US"/>
    </w:rPr>
  </w:style>
  <w:style w:type="character" w:customStyle="1" w:styleId="FootnoteTextChar">
    <w:name w:val="Footnote Text Char"/>
    <w:basedOn w:val="DefaultParagraphFont"/>
    <w:uiPriority w:val="99"/>
    <w:semiHidden/>
    <w:rsid w:val="00331527"/>
    <w:rPr>
      <w:rFonts w:ascii="Times New Roman" w:eastAsia="Times New Roman" w:hAnsi="Times New Roman" w:cs="Times New Roman"/>
      <w:sz w:val="20"/>
      <w:szCs w:val="20"/>
      <w:lang w:val="ro-RO" w:eastAsia="ro-RO"/>
    </w:rPr>
  </w:style>
  <w:style w:type="paragraph" w:customStyle="1" w:styleId="yiv677137984msonormal">
    <w:name w:val="yiv677137984msonormal"/>
    <w:basedOn w:val="Normal"/>
    <w:rsid w:val="00331527"/>
    <w:rPr>
      <w:noProof/>
      <w:lang w:val="en-US" w:eastAsia="en-US"/>
    </w:rPr>
  </w:style>
  <w:style w:type="character" w:customStyle="1" w:styleId="FootnoteTextChar1">
    <w:name w:val="Footnote Text Char1"/>
    <w:aliases w:val="Footnote Text Char Char Char,Footnote Text Char Char1,Fußnote Char1,single space Char,footnote text Char,FOOTNOTES Char,fn Char1,Podrozdział Char,Footnote Char,fn Char Char Char Char,fn Char Char Char1,fn Char Char1,Fußnote Char Char"/>
    <w:link w:val="FootnoteText"/>
    <w:semiHidden/>
    <w:rsid w:val="003315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Fadeev</dc:creator>
  <cp:keywords/>
  <dc:description/>
  <cp:lastModifiedBy>Adriana Fadeev</cp:lastModifiedBy>
  <cp:revision>1</cp:revision>
  <dcterms:created xsi:type="dcterms:W3CDTF">2017-08-16T07:05:00Z</dcterms:created>
  <dcterms:modified xsi:type="dcterms:W3CDTF">2017-08-16T07:09:00Z</dcterms:modified>
</cp:coreProperties>
</file>